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132158" w:rsidTr="00D319EC">
        <w:trPr>
          <w:trHeight w:val="854"/>
        </w:trPr>
        <w:tc>
          <w:tcPr>
            <w:tcW w:w="6984" w:type="dxa"/>
          </w:tcPr>
          <w:p w:rsidR="008F0481" w:rsidRPr="00132158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32158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  <w:r w:rsidR="00034D64" w:rsidRPr="0013215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2654" w:type="dxa"/>
          </w:tcPr>
          <w:p w:rsidR="008F0481" w:rsidRPr="00132158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/>
      </w:tblPr>
      <w:tblGrid>
        <w:gridCol w:w="3528"/>
        <w:gridCol w:w="6326"/>
      </w:tblGrid>
      <w:tr w:rsidR="00D319EC" w:rsidRPr="00132158" w:rsidTr="00BF518C">
        <w:trPr>
          <w:cnfStyle w:val="100000000000"/>
        </w:trPr>
        <w:tc>
          <w:tcPr>
            <w:cnfStyle w:val="001000000000"/>
            <w:tcW w:w="3528" w:type="dxa"/>
          </w:tcPr>
          <w:p w:rsidR="00D319EC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:rsidR="00D319EC" w:rsidRPr="009A5395" w:rsidRDefault="00230444" w:rsidP="00427EF3">
            <w:pPr>
              <w:spacing w:line="276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:rsidR="00230444" w:rsidRPr="009A5395" w:rsidRDefault="000F1F3E" w:rsidP="00427EF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5E0664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</w:tcPr>
          <w:p w:rsidR="00230444" w:rsidRPr="009A5395" w:rsidRDefault="000F1F3E" w:rsidP="00427EF3">
            <w:pPr>
              <w:spacing w:line="276" w:lineRule="auto"/>
              <w:cnfStyle w:val="00000001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</w:rPr>
              <w:t>Student Talent Bank</w:t>
            </w:r>
            <w:r w:rsidRPr="009A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211F" w:rsidRPr="009A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(</w:t>
            </w:r>
            <w:r w:rsidRPr="009A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STB</w:t>
            </w:r>
            <w:r w:rsidR="0058211F" w:rsidRPr="009A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) 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:rsidR="00230444" w:rsidRPr="009A5395" w:rsidRDefault="00230444" w:rsidP="005D5108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Erasmus+</w:t>
            </w:r>
            <w:r w:rsidR="005D51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(KA2) :</w:t>
            </w:r>
            <w:r w:rsidR="0058211F"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D510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Partneriat strategic- dezvoltarea inovației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</w:tcPr>
          <w:p w:rsidR="00230444" w:rsidRPr="009A5395" w:rsidRDefault="000F1F3E" w:rsidP="00427EF3">
            <w:pPr>
              <w:spacing w:line="276" w:lineRule="auto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A5395">
              <w:rPr>
                <w:rFonts w:ascii="Times New Roman" w:eastAsia="Calibri" w:hAnsi="Times New Roman" w:cs="Times New Roman"/>
                <w:color w:val="26282A"/>
                <w:sz w:val="24"/>
                <w:szCs w:val="24"/>
                <w:shd w:val="clear" w:color="auto" w:fill="FFFFFF"/>
              </w:rPr>
              <w:t>2017-1-FR01-KA201-037170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:rsidR="00230444" w:rsidRPr="009A5395" w:rsidRDefault="0058211F" w:rsidP="00427EF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539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01/</w:t>
            </w:r>
            <w:r w:rsidR="000F1F3E" w:rsidRPr="009A539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11</w:t>
            </w:r>
            <w:r w:rsidRPr="009A539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/2017</w:t>
            </w:r>
            <w:r w:rsidR="00230444" w:rsidRPr="009A539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– 31/</w:t>
            </w:r>
            <w:r w:rsidR="000F1F3E" w:rsidRPr="009A539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  <w:r w:rsidR="00230444" w:rsidRPr="009A539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0/201</w:t>
            </w:r>
            <w:r w:rsidR="000F1F3E" w:rsidRPr="009A539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:rsidR="00230444" w:rsidRPr="009A5395" w:rsidRDefault="005D5108" w:rsidP="00427EF3">
            <w:pPr>
              <w:spacing w:line="276" w:lineRule="auto"/>
              <w:cnfStyle w:val="00000001000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25716</w:t>
            </w:r>
            <w:r w:rsidR="00230444"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€ 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6326" w:type="dxa"/>
          </w:tcPr>
          <w:p w:rsidR="009D72F4" w:rsidRPr="009A5395" w:rsidRDefault="00211E6C" w:rsidP="00427EF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="009D72F4" w:rsidRPr="001E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 – the European Association for Local Democracy, France: coordonator</w:t>
            </w:r>
          </w:p>
          <w:p w:rsidR="00211E6C" w:rsidRPr="009A5395" w:rsidRDefault="009D72F4" w:rsidP="00427EF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="00211E6C" w:rsidRPr="009A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 M.E.P.E., Greece</w:t>
            </w:r>
          </w:p>
          <w:p w:rsidR="00211E6C" w:rsidRPr="009A5395" w:rsidRDefault="00211E6C" w:rsidP="00427EF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EUN, EUN PARTNERSHIP AISBL, Belgium</w:t>
            </w:r>
          </w:p>
          <w:p w:rsidR="00211E6C" w:rsidRPr="009A5395" w:rsidRDefault="00211E6C" w:rsidP="00427EF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UVA, Universidad de Valladolidad, Spain</w:t>
            </w:r>
          </w:p>
          <w:p w:rsidR="00211E6C" w:rsidRPr="009A5395" w:rsidRDefault="00211E6C" w:rsidP="00427EF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INQ, Stichting Incubator, Netherlands</w:t>
            </w:r>
          </w:p>
          <w:p w:rsidR="008D4AA2" w:rsidRPr="009A5395" w:rsidRDefault="00211E6C" w:rsidP="00427EF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EM, Eurocrea Merchant, Italy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  <w:r w:rsidR="000A1616" w:rsidRPr="0013215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– membri în consorțiul local</w:t>
            </w:r>
          </w:p>
        </w:tc>
        <w:tc>
          <w:tcPr>
            <w:tcW w:w="6326" w:type="dxa"/>
          </w:tcPr>
          <w:p w:rsidR="000073E9" w:rsidRPr="009A5395" w:rsidRDefault="00F86511" w:rsidP="00F86511">
            <w:pPr>
              <w:pStyle w:val="Listparagraf"/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40 - ș</w:t>
            </w:r>
            <w:r w:rsidR="006A1051"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 din jud. Iași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321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:rsidR="00230444" w:rsidRPr="009A5395" w:rsidRDefault="00636B7B" w:rsidP="00427EF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226B54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Proiectul promov</w:t>
            </w:r>
            <w:r w:rsidR="00212FFA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ează</w:t>
            </w:r>
            <w:r w:rsidR="00226B54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educația antreprenorială în rândul profesorilor din școlile secundare pentru a preveni abandonul școlar, pentru a facilita tranziția de la școală la locul de muncă și pentru a crește implicarea elevilor, în special în școlile care înregistrează un procent ridicat de minorități etnice și studenți străini. Pentru a reuși acest lucru, proiectul vizează dezvoltarea la profesorii școlii a competențelor antreprenoriale și mentalitatea de a încuraja implicarea școlară (O1), având suport o platformă online, The Bank Time Talent School. </w:t>
            </w:r>
          </w:p>
          <w:p w:rsidR="00212FFA" w:rsidRPr="009A5395" w:rsidRDefault="00636B7B" w:rsidP="00427EF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212FFA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Provocarea este de a trece de la antreprenoriat, cu accent pe crearea de noi locuri de muncă și de afaceri, la o nouă tendință de antreprenoriat, care se concentrează pe </w:t>
            </w:r>
            <w:r w:rsidR="00212FFA" w:rsidRPr="005D5108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mentalitatea și comportamentul întreprinzător</w:t>
            </w:r>
            <w:r w:rsidR="00212FFA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. Educația antreprenorială este o metodă de </w:t>
            </w:r>
            <w:r w:rsidR="000E1AFE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dezvoltar</w:t>
            </w:r>
            <w:r w:rsidR="00212FFA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 care le permite elevilor să ia viitorul în mâinile lor, prin promovarea învățării prin practică, a eficacității de sine, a rezilienței și a motivației</w:t>
            </w:r>
            <w:r w:rsidR="000E1AFE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636B7B" w:rsidRPr="009A5395" w:rsidRDefault="00636B7B" w:rsidP="00427EF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  <w:t>Proiectul este axat pe 2 concepte:</w:t>
            </w:r>
          </w:p>
          <w:p w:rsidR="00636B7B" w:rsidRPr="009A5395" w:rsidRDefault="00636B7B" w:rsidP="00427EF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 consolidarea profilului cadrelor didactice, prin consolidarea educației și învățării antreprenoriale cu o abordare participativă pentru formare;</w:t>
            </w:r>
          </w:p>
          <w:p w:rsidR="00636B7B" w:rsidRPr="009A5395" w:rsidRDefault="00636B7B" w:rsidP="00427EF3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- utilizarea educației antreprenoriale ca metodă de sprijinire a profesorilor pentru a crește angajamentul elevilor și pen</w:t>
            </w:r>
            <w:r w:rsidR="009A5395"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tru a permite studenților să își gestioneze viitorul</w:t>
            </w:r>
            <w:r w:rsidRPr="009A539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F877EF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32158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Obiectiv</w:t>
            </w:r>
            <w:r w:rsidR="00CB35C3">
              <w:rPr>
                <w:rFonts w:ascii="Times New Roman" w:hAnsi="Times New Roman" w:cs="Times New Roman"/>
                <w:color w:val="auto"/>
                <w:lang w:val="ro-RO"/>
              </w:rPr>
              <w:t>e</w:t>
            </w:r>
            <w:r w:rsidRPr="00132158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</w:p>
          <w:p w:rsidR="00230444" w:rsidRPr="00132158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326" w:type="dxa"/>
          </w:tcPr>
          <w:p w:rsidR="00CB35C3" w:rsidRPr="002829D1" w:rsidRDefault="00CB35C3" w:rsidP="002829D1">
            <w:pPr>
              <w:pStyle w:val="Listparagraf"/>
              <w:numPr>
                <w:ilvl w:val="0"/>
                <w:numId w:val="8"/>
              </w:num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829D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Dezvoltarea de competențe și abilități relevante și de calitate pentru profesorii din învățământul secundar pentru a promova dezvoltarea lor profesională în materie de educație antreprenorială, </w:t>
            </w:r>
          </w:p>
          <w:p w:rsidR="00CB35C3" w:rsidRPr="002829D1" w:rsidRDefault="00CB35C3" w:rsidP="002829D1">
            <w:pPr>
              <w:pStyle w:val="Listparagraf"/>
              <w:numPr>
                <w:ilvl w:val="0"/>
                <w:numId w:val="8"/>
              </w:num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829D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Sprijinirea școlilor pentru combaterea abandonului școlar timpuriu prin abordarea de noi metode și instrumente pentru a încuraja implicarea și motivația elevilor.</w:t>
            </w:r>
          </w:p>
          <w:p w:rsidR="00CB35C3" w:rsidRPr="002829D1" w:rsidRDefault="00CB35C3" w:rsidP="002829D1">
            <w:pPr>
              <w:pStyle w:val="Listparagraf"/>
              <w:numPr>
                <w:ilvl w:val="0"/>
                <w:numId w:val="8"/>
              </w:num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829D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Îmbunătățirea calității și a eficienței educației și formării profesionale</w:t>
            </w:r>
          </w:p>
          <w:p w:rsidR="00230444" w:rsidRPr="002829D1" w:rsidRDefault="00CB35C3" w:rsidP="002829D1">
            <w:pPr>
              <w:pStyle w:val="Listparagraf"/>
              <w:numPr>
                <w:ilvl w:val="0"/>
                <w:numId w:val="8"/>
              </w:num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829D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Promovarea echității, a coeziunii sociale și a cetățeniei active.</w:t>
            </w:r>
          </w:p>
        </w:tc>
      </w:tr>
      <w:tr w:rsidR="00230444" w:rsidRPr="00132158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132158" w:rsidRDefault="000B5895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</w:t>
            </w:r>
            <w:r w:rsidR="00CB35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230444" w:rsidRPr="00132158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6326" w:type="dxa"/>
          </w:tcPr>
          <w:p w:rsidR="0088158F" w:rsidRPr="0085449E" w:rsidRDefault="0088158F" w:rsidP="002829D1">
            <w:pPr>
              <w:numPr>
                <w:ilvl w:val="0"/>
                <w:numId w:val="10"/>
              </w:numPr>
              <w:spacing w:after="16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Coordonare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regiona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lă și 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pare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a 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 întâlniri transnaționale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8158F" w:rsidRPr="0085449E" w:rsidRDefault="0088158F" w:rsidP="002829D1">
            <w:pPr>
              <w:numPr>
                <w:ilvl w:val="0"/>
                <w:numId w:val="10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Contribuții la d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ezvoltarea rezultatelor intelectuale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88158F" w:rsidRPr="0085449E" w:rsidRDefault="0088158F" w:rsidP="002829D1">
            <w:pPr>
              <w:numPr>
                <w:ilvl w:val="1"/>
                <w:numId w:val="10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metodologiei de cercetare privind necesitatea educației antreprenoriale în gimnaziu și liceu  - aplicată în 40 de școli din județ</w:t>
            </w:r>
          </w:p>
          <w:p w:rsidR="0088158F" w:rsidRPr="0085449E" w:rsidRDefault="0088158F" w:rsidP="002829D1">
            <w:pPr>
              <w:numPr>
                <w:ilvl w:val="1"/>
                <w:numId w:val="10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ontribuții la modulele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Antreprenoriat Student Talent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(Time) Bank pentru cadrele didactice,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8158F" w:rsidRPr="0085449E" w:rsidRDefault="0088158F" w:rsidP="002829D1">
            <w:pPr>
              <w:numPr>
                <w:ilvl w:val="1"/>
                <w:numId w:val="10"/>
              </w:numPr>
              <w:spacing w:after="16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Contribuții pentru Platfo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rma ST Bank </w:t>
            </w:r>
          </w:p>
          <w:p w:rsidR="0088158F" w:rsidRPr="0085449E" w:rsidRDefault="0088158F" w:rsidP="002829D1">
            <w:pPr>
              <w:numPr>
                <w:ilvl w:val="0"/>
                <w:numId w:val="10"/>
              </w:numPr>
              <w:spacing w:after="16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Contribuții și participare la p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rogram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de studiu  intensiv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 profesori din județ - februarie 2019, Bruxelles)</w:t>
            </w:r>
          </w:p>
          <w:p w:rsidR="0088158F" w:rsidRPr="0085449E" w:rsidRDefault="0088158F" w:rsidP="002829D1">
            <w:pPr>
              <w:numPr>
                <w:ilvl w:val="0"/>
                <w:numId w:val="10"/>
              </w:numPr>
              <w:spacing w:after="160"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eveniment de multiplicare</w:t>
            </w:r>
            <w:r w:rsidRPr="008544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8158F" w:rsidRDefault="0088158F" w:rsidP="002829D1">
            <w:pPr>
              <w:numPr>
                <w:ilvl w:val="0"/>
                <w:numId w:val="10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Diseminare </w:t>
            </w:r>
          </w:p>
          <w:p w:rsidR="00636B7B" w:rsidRPr="0088158F" w:rsidRDefault="0088158F" w:rsidP="002829D1">
            <w:pPr>
              <w:numPr>
                <w:ilvl w:val="0"/>
                <w:numId w:val="10"/>
              </w:numPr>
              <w:spacing w:line="276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49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Monitorizarea și evaluarea calității</w:t>
            </w:r>
          </w:p>
        </w:tc>
      </w:tr>
      <w:tr w:rsidR="00230444" w:rsidRPr="00132158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132158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132158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326" w:type="dxa"/>
          </w:tcPr>
          <w:p w:rsidR="005903AC" w:rsidRPr="009A5395" w:rsidRDefault="00AB4824" w:rsidP="00427EF3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A53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1668" cy="182618"/>
                  <wp:effectExtent l="19050" t="0" r="5982" b="0"/>
                  <wp:docPr id="4" name="Imagine 3" descr="facebook_like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_like_logo_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33" cy="18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4AA9"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InspectoratulScolarJudeteanIasi</w:t>
            </w:r>
            <w:r w:rsidR="00FC4AA9"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Proiecte</w:t>
            </w:r>
            <w:r w:rsidRPr="009A53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.isjiasi</w:t>
            </w:r>
          </w:p>
        </w:tc>
      </w:tr>
    </w:tbl>
    <w:p w:rsidR="00230444" w:rsidRPr="00132158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0664" w:rsidRPr="00132158" w:rsidRDefault="005E0664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E0664" w:rsidRPr="00132158" w:rsidSect="00EE41AB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66" w:rsidRDefault="00E87F66" w:rsidP="00EE41AB">
      <w:pPr>
        <w:spacing w:after="0" w:line="240" w:lineRule="auto"/>
      </w:pPr>
      <w:r>
        <w:separator/>
      </w:r>
    </w:p>
  </w:endnote>
  <w:endnote w:type="continuationSeparator" w:id="1">
    <w:p w:rsidR="00E87F66" w:rsidRDefault="00E87F66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7370"/>
      <w:gridCol w:w="329"/>
      <w:gridCol w:w="1939"/>
    </w:tblGrid>
    <w:tr w:rsidR="005E0664" w:rsidRPr="00AF0FF9" w:rsidTr="00AF0FF9">
      <w:tc>
        <w:tcPr>
          <w:tcW w:w="7371" w:type="dxa"/>
          <w:vAlign w:val="bottom"/>
        </w:tcPr>
        <w:p w:rsidR="005E0664" w:rsidRPr="00B969CF" w:rsidRDefault="005E0664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  <w:vAlign w:val="bottom"/>
        </w:tcPr>
        <w:p w:rsidR="005E0664" w:rsidRPr="00B969CF" w:rsidRDefault="005E0664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:rsidR="005E0664" w:rsidRPr="00B969CF" w:rsidRDefault="005E0664" w:rsidP="00EE41AB">
          <w:pPr>
            <w:pStyle w:val="Elementografico"/>
            <w:rPr>
              <w:lang w:val="en-US"/>
            </w:rPr>
          </w:pPr>
        </w:p>
      </w:tc>
    </w:tr>
    <w:tr w:rsidR="005E0664" w:rsidRPr="00AF0FF9" w:rsidTr="00AF0FF9">
      <w:trPr>
        <w:trHeight w:hRule="exact" w:val="86"/>
      </w:trPr>
      <w:tc>
        <w:tcPr>
          <w:tcW w:w="7371" w:type="dxa"/>
          <w:shd w:val="clear" w:color="auto" w:fill="000000" w:themeFill="text1"/>
        </w:tcPr>
        <w:p w:rsidR="005E0664" w:rsidRPr="00B969CF" w:rsidRDefault="005E0664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</w:tcPr>
        <w:p w:rsidR="005E0664" w:rsidRPr="00B969CF" w:rsidRDefault="005E0664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5E0664" w:rsidRPr="00B969CF" w:rsidRDefault="005E0664" w:rsidP="00EE41AB">
          <w:pPr>
            <w:rPr>
              <w:lang w:val="en-US"/>
            </w:rPr>
          </w:pPr>
        </w:p>
      </w:tc>
    </w:tr>
  </w:tbl>
  <w:p w:rsidR="005E0664" w:rsidRPr="00EE41AB" w:rsidRDefault="005E0664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66" w:rsidRDefault="00E87F66" w:rsidP="00EE41AB">
      <w:pPr>
        <w:spacing w:after="0" w:line="240" w:lineRule="auto"/>
      </w:pPr>
      <w:r>
        <w:separator/>
      </w:r>
    </w:p>
  </w:footnote>
  <w:footnote w:type="continuationSeparator" w:id="1">
    <w:p w:rsidR="00E87F66" w:rsidRDefault="00E87F66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4"/>
      <w:gridCol w:w="6927"/>
    </w:tblGrid>
    <w:tr w:rsidR="005E0664" w:rsidRPr="00B969CF" w:rsidTr="00EE41AB">
      <w:trPr>
        <w:trHeight w:hRule="exact" w:val="720"/>
      </w:trPr>
      <w:tc>
        <w:tcPr>
          <w:tcW w:w="2389" w:type="dxa"/>
          <w:vAlign w:val="bottom"/>
        </w:tcPr>
        <w:p w:rsidR="005E0664" w:rsidRPr="00306653" w:rsidRDefault="005E0664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:rsidR="005E0664" w:rsidRPr="00A22A1E" w:rsidRDefault="005E0664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:rsidR="005E0664" w:rsidRPr="0053461B" w:rsidRDefault="005E0664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5E0664" w:rsidRPr="00B969CF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5E0664" w:rsidRPr="00A22A1E" w:rsidRDefault="005E0664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:rsidR="005E0664" w:rsidRPr="00A22A1E" w:rsidRDefault="005E0664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:rsidR="005E0664" w:rsidRPr="00B969CF" w:rsidRDefault="005E0664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5E0664" w:rsidRPr="00B969CF" w:rsidRDefault="005E0664" w:rsidP="00EE41AB">
    <w:pPr>
      <w:spacing w:after="0" w:line="240" w:lineRule="auto"/>
      <w:rPr>
        <w:sz w:val="2"/>
        <w:szCs w:val="2"/>
      </w:rPr>
    </w:pPr>
  </w:p>
  <w:p w:rsidR="005E0664" w:rsidRPr="00EE41AB" w:rsidRDefault="005E0664" w:rsidP="00EE41A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64" w:rsidRDefault="005E0664" w:rsidP="0058211F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6"/>
      <w:gridCol w:w="6925"/>
    </w:tblGrid>
    <w:tr w:rsidR="005E0664" w:rsidTr="008B5E56">
      <w:trPr>
        <w:trHeight w:hRule="exact" w:val="720"/>
      </w:trPr>
      <w:tc>
        <w:tcPr>
          <w:tcW w:w="1239" w:type="pct"/>
          <w:vAlign w:val="bottom"/>
        </w:tcPr>
        <w:p w:rsidR="005E0664" w:rsidRPr="00AF0FF9" w:rsidRDefault="005E0664" w:rsidP="008B5E56">
          <w:pPr>
            <w:pStyle w:val="Dat"/>
            <w:rPr>
              <w:rFonts w:ascii="Verdana" w:hAnsi="Verdana"/>
            </w:rPr>
          </w:pPr>
        </w:p>
      </w:tc>
      <w:tc>
        <w:tcPr>
          <w:tcW w:w="169" w:type="pct"/>
          <w:shd w:val="clear" w:color="auto" w:fill="auto"/>
          <w:vAlign w:val="bottom"/>
        </w:tcPr>
        <w:p w:rsidR="005E0664" w:rsidRDefault="005E0664" w:rsidP="00EE41AB"/>
      </w:tc>
      <w:tc>
        <w:tcPr>
          <w:tcW w:w="3592" w:type="pct"/>
          <w:vAlign w:val="bottom"/>
        </w:tcPr>
        <w:p w:rsidR="005E0664" w:rsidRDefault="005E0664" w:rsidP="00EE41AB"/>
      </w:tc>
    </w:tr>
    <w:tr w:rsidR="005E0664" w:rsidTr="008B5E56">
      <w:trPr>
        <w:trHeight w:hRule="exact" w:val="86"/>
      </w:trPr>
      <w:tc>
        <w:tcPr>
          <w:tcW w:w="1239" w:type="pct"/>
          <w:shd w:val="clear" w:color="auto" w:fill="000000" w:themeFill="text1"/>
        </w:tcPr>
        <w:p w:rsidR="005E0664" w:rsidRDefault="005E0664" w:rsidP="00EE41AB"/>
      </w:tc>
      <w:tc>
        <w:tcPr>
          <w:tcW w:w="169" w:type="pct"/>
          <w:shd w:val="clear" w:color="auto" w:fill="auto"/>
        </w:tcPr>
        <w:p w:rsidR="005E0664" w:rsidRDefault="005E0664" w:rsidP="00EE41AB"/>
      </w:tc>
      <w:tc>
        <w:tcPr>
          <w:tcW w:w="3592" w:type="pct"/>
          <w:shd w:val="clear" w:color="auto" w:fill="000000" w:themeFill="text1"/>
        </w:tcPr>
        <w:p w:rsidR="005E0664" w:rsidRDefault="005E0664" w:rsidP="00EE41AB"/>
      </w:tc>
    </w:tr>
  </w:tbl>
  <w:p w:rsidR="005E0664" w:rsidRDefault="005E0664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24DC5185"/>
    <w:multiLevelType w:val="hybridMultilevel"/>
    <w:tmpl w:val="472E0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E4045"/>
    <w:multiLevelType w:val="hybridMultilevel"/>
    <w:tmpl w:val="CD72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D4473"/>
    <w:multiLevelType w:val="hybridMultilevel"/>
    <w:tmpl w:val="26D2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1057"/>
    <w:multiLevelType w:val="hybridMultilevel"/>
    <w:tmpl w:val="056A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E465D"/>
    <w:multiLevelType w:val="hybridMultilevel"/>
    <w:tmpl w:val="616863C6"/>
    <w:lvl w:ilvl="0" w:tplc="000409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CF35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ED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2E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626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C3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040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85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8EB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35F3D"/>
    <w:multiLevelType w:val="hybridMultilevel"/>
    <w:tmpl w:val="F2F8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073E9"/>
    <w:rsid w:val="0002177D"/>
    <w:rsid w:val="00030AC2"/>
    <w:rsid w:val="00034D64"/>
    <w:rsid w:val="0004505C"/>
    <w:rsid w:val="0005510C"/>
    <w:rsid w:val="00081A8C"/>
    <w:rsid w:val="00083CBE"/>
    <w:rsid w:val="000A1616"/>
    <w:rsid w:val="000A1669"/>
    <w:rsid w:val="000B0909"/>
    <w:rsid w:val="000B5895"/>
    <w:rsid w:val="000C08C6"/>
    <w:rsid w:val="000D46C5"/>
    <w:rsid w:val="000E1AFE"/>
    <w:rsid w:val="000F1F3E"/>
    <w:rsid w:val="000F4A54"/>
    <w:rsid w:val="0012132D"/>
    <w:rsid w:val="001309A3"/>
    <w:rsid w:val="00132158"/>
    <w:rsid w:val="0014336A"/>
    <w:rsid w:val="00186B76"/>
    <w:rsid w:val="001D476D"/>
    <w:rsid w:val="001D4E63"/>
    <w:rsid w:val="001E10E7"/>
    <w:rsid w:val="00211E6C"/>
    <w:rsid w:val="00212FFA"/>
    <w:rsid w:val="00226B54"/>
    <w:rsid w:val="00230444"/>
    <w:rsid w:val="002573B5"/>
    <w:rsid w:val="00274351"/>
    <w:rsid w:val="00281EB1"/>
    <w:rsid w:val="002829D1"/>
    <w:rsid w:val="002A689D"/>
    <w:rsid w:val="002E73E4"/>
    <w:rsid w:val="002F096E"/>
    <w:rsid w:val="0032549F"/>
    <w:rsid w:val="00325C9A"/>
    <w:rsid w:val="00343FCC"/>
    <w:rsid w:val="00364F1E"/>
    <w:rsid w:val="00382980"/>
    <w:rsid w:val="003939B6"/>
    <w:rsid w:val="003B4132"/>
    <w:rsid w:val="003D5008"/>
    <w:rsid w:val="003F3126"/>
    <w:rsid w:val="003F7BBE"/>
    <w:rsid w:val="00422B82"/>
    <w:rsid w:val="00427EF3"/>
    <w:rsid w:val="00441790"/>
    <w:rsid w:val="004430C0"/>
    <w:rsid w:val="00451573"/>
    <w:rsid w:val="004605D6"/>
    <w:rsid w:val="00465B56"/>
    <w:rsid w:val="00466025"/>
    <w:rsid w:val="00485B67"/>
    <w:rsid w:val="0049481B"/>
    <w:rsid w:val="00496938"/>
    <w:rsid w:val="004A1E15"/>
    <w:rsid w:val="004B587D"/>
    <w:rsid w:val="00533094"/>
    <w:rsid w:val="0053461B"/>
    <w:rsid w:val="0056274F"/>
    <w:rsid w:val="00575A37"/>
    <w:rsid w:val="0058211F"/>
    <w:rsid w:val="00583B99"/>
    <w:rsid w:val="005865CE"/>
    <w:rsid w:val="005903AC"/>
    <w:rsid w:val="005A4A07"/>
    <w:rsid w:val="005D37AA"/>
    <w:rsid w:val="005D4BCA"/>
    <w:rsid w:val="005D5108"/>
    <w:rsid w:val="005E0664"/>
    <w:rsid w:val="005F30AF"/>
    <w:rsid w:val="00600BC4"/>
    <w:rsid w:val="0060353C"/>
    <w:rsid w:val="006073EE"/>
    <w:rsid w:val="0062362D"/>
    <w:rsid w:val="0062701F"/>
    <w:rsid w:val="00634D6C"/>
    <w:rsid w:val="006357D5"/>
    <w:rsid w:val="00636B7B"/>
    <w:rsid w:val="00640025"/>
    <w:rsid w:val="00665F42"/>
    <w:rsid w:val="00673054"/>
    <w:rsid w:val="00674634"/>
    <w:rsid w:val="00691837"/>
    <w:rsid w:val="006A057A"/>
    <w:rsid w:val="006A1051"/>
    <w:rsid w:val="006E73CA"/>
    <w:rsid w:val="00703A70"/>
    <w:rsid w:val="00714AFE"/>
    <w:rsid w:val="00722405"/>
    <w:rsid w:val="0072353E"/>
    <w:rsid w:val="0072437A"/>
    <w:rsid w:val="00726612"/>
    <w:rsid w:val="00733F97"/>
    <w:rsid w:val="007375E4"/>
    <w:rsid w:val="00742651"/>
    <w:rsid w:val="00756025"/>
    <w:rsid w:val="00756A35"/>
    <w:rsid w:val="007B04BC"/>
    <w:rsid w:val="007D5FE9"/>
    <w:rsid w:val="008022BF"/>
    <w:rsid w:val="0088158F"/>
    <w:rsid w:val="008A4C08"/>
    <w:rsid w:val="008B5E56"/>
    <w:rsid w:val="008C54F8"/>
    <w:rsid w:val="008D4AA2"/>
    <w:rsid w:val="008E3150"/>
    <w:rsid w:val="008F0481"/>
    <w:rsid w:val="008F10C1"/>
    <w:rsid w:val="009216F3"/>
    <w:rsid w:val="00953A4B"/>
    <w:rsid w:val="0095681F"/>
    <w:rsid w:val="009570C4"/>
    <w:rsid w:val="00967C69"/>
    <w:rsid w:val="009945A7"/>
    <w:rsid w:val="0099780E"/>
    <w:rsid w:val="009A06A0"/>
    <w:rsid w:val="009A2642"/>
    <w:rsid w:val="009A5395"/>
    <w:rsid w:val="009B2D67"/>
    <w:rsid w:val="009C4961"/>
    <w:rsid w:val="009C71F7"/>
    <w:rsid w:val="009D72F4"/>
    <w:rsid w:val="009E4662"/>
    <w:rsid w:val="00A02EB0"/>
    <w:rsid w:val="00A17C95"/>
    <w:rsid w:val="00A26DB6"/>
    <w:rsid w:val="00A44DD3"/>
    <w:rsid w:val="00A614CE"/>
    <w:rsid w:val="00A703C2"/>
    <w:rsid w:val="00A969BF"/>
    <w:rsid w:val="00A978AC"/>
    <w:rsid w:val="00AA2763"/>
    <w:rsid w:val="00AA3404"/>
    <w:rsid w:val="00AB4824"/>
    <w:rsid w:val="00AF0FF9"/>
    <w:rsid w:val="00B229FF"/>
    <w:rsid w:val="00B23E80"/>
    <w:rsid w:val="00B35B12"/>
    <w:rsid w:val="00B558DB"/>
    <w:rsid w:val="00B86324"/>
    <w:rsid w:val="00BE27A0"/>
    <w:rsid w:val="00BF518C"/>
    <w:rsid w:val="00C0080A"/>
    <w:rsid w:val="00C113E8"/>
    <w:rsid w:val="00C27C52"/>
    <w:rsid w:val="00C33CF1"/>
    <w:rsid w:val="00C61D23"/>
    <w:rsid w:val="00C70058"/>
    <w:rsid w:val="00CB35C3"/>
    <w:rsid w:val="00CD4DFD"/>
    <w:rsid w:val="00CD7D43"/>
    <w:rsid w:val="00D30FD1"/>
    <w:rsid w:val="00D319EC"/>
    <w:rsid w:val="00D3335E"/>
    <w:rsid w:val="00D6706B"/>
    <w:rsid w:val="00D90E3F"/>
    <w:rsid w:val="00D95CC5"/>
    <w:rsid w:val="00DF2EAA"/>
    <w:rsid w:val="00E01F01"/>
    <w:rsid w:val="00E0435B"/>
    <w:rsid w:val="00E43F5E"/>
    <w:rsid w:val="00E56C50"/>
    <w:rsid w:val="00E63CB9"/>
    <w:rsid w:val="00E65D9B"/>
    <w:rsid w:val="00E87F66"/>
    <w:rsid w:val="00E91226"/>
    <w:rsid w:val="00E96EC4"/>
    <w:rsid w:val="00EA29A3"/>
    <w:rsid w:val="00EB1AA6"/>
    <w:rsid w:val="00EC6776"/>
    <w:rsid w:val="00EC6EA4"/>
    <w:rsid w:val="00EE41AB"/>
    <w:rsid w:val="00F04FAF"/>
    <w:rsid w:val="00F06777"/>
    <w:rsid w:val="00F0715B"/>
    <w:rsid w:val="00F6163A"/>
    <w:rsid w:val="00F63904"/>
    <w:rsid w:val="00F82A80"/>
    <w:rsid w:val="00F86511"/>
    <w:rsid w:val="00F877EF"/>
    <w:rsid w:val="00FA736D"/>
    <w:rsid w:val="00FC4AA9"/>
    <w:rsid w:val="00FC67AA"/>
    <w:rsid w:val="00FD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3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DB5C-304E-4410-BBC8-ECC02C0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77</cp:revision>
  <cp:lastPrinted>2017-03-30T08:29:00Z</cp:lastPrinted>
  <dcterms:created xsi:type="dcterms:W3CDTF">2017-03-30T08:05:00Z</dcterms:created>
  <dcterms:modified xsi:type="dcterms:W3CDTF">2017-11-27T17:36:00Z</dcterms:modified>
</cp:coreProperties>
</file>